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 يترتب على تقديم العريضة للقاضي توليد خصومة قضائية الن الخصومة القضائية هي</w:t>
      </w:r>
    </w:p>
    <w:p>
      <w:pPr/>
      <w:r>
        <w:rPr/>
        <w:t xml:space="preserve">عبارة عن مجموعة من األعمال اإلجرائية المتتابعة زمنيا بهدف تهيئة وسط إجرائي مالئم إلصدار الحكم</w:t>
      </w:r>
    </w:p>
    <w:p>
      <w:pPr/>
      <w:r>
        <w:rPr>
          <w:shd w:val="clear" w:fill="eeee80"/>
        </w:rPr>
        <w:t xml:space="preserve"> واألصل إن هذه الخصومة يتم انعقادها بمجرد تكليف الخصم و تبليغه تبليغا صحيحا و</w:t>
      </w:r>
    </w:p>
    <w:p>
      <w:pPr/>
      <w:r>
        <w:rPr/>
        <w:t xml:space="preserve">بما إن نظام األوامر على عرائض ال يفترض عدم وجود نزاع يراد حسمه ، كما انه يفترض عدم إعالن</w:t>
      </w:r>
    </w:p>
    <w:p>
      <w:pPr/>
      <w:r>
        <w:rPr>
          <w:shd w:val="clear" w:fill="eeee80"/>
        </w:rPr>
        <w:t xml:space="preserve">الخصم المطلوب إصدار األمر ضده فالنتيجة المنطقية هي انه ال يتولد عن تقديم صحيفة األمر على</w:t>
      </w:r>
    </w:p>
    <w:p>
      <w:pPr/>
      <w:r>
        <w:rPr>
          <w:shd w:val="clear" w:fill="eeee80"/>
        </w:rPr>
        <w:t xml:space="preserve"> وبالتالي فان جميع القواعد العامة التي تحكم الخصومة القضائية المدنية</w:t>
      </w:r>
    </w:p>
    <w:p>
      <w:pPr/>
      <w:r>
        <w:rPr/>
        <w:t xml:space="preserve">1 ال تجد مجاال ألعمالها بصدد نظام األوامر على عرائض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2026-10-12T22:37:43+00:00</dcterms:created>
  <dcterms:modified xsi:type="dcterms:W3CDTF">2026-10-12T22:37:43+00:00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