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شُرع في بناء مدينة فاس سنة  192هـ من طرف المولى إدريس الثاني،</w:t>
      </w:r>
    </w:p>
    <w:p>
      <w:pPr/>
      <w:r>
        <w:rPr>
          <w:shd w:val="clear" w:fill="eeee80"/>
        </w:rPr>
        <w:t xml:space="preserve"> ويقال أن إدريس الأول هو من اختار الموقع وبدأ عملية البناء،</w:t>
      </w:r>
    </w:p>
    <w:p>
      <w:pPr/>
      <w:r>
        <w:rPr>
          <w:shd w:val="clear" w:fill="eeee80"/>
        </w:rPr>
        <w:t xml:space="preserve"> وعدوة القرويين يفصل بينهما النهر الكبير،</w:t>
      </w:r>
    </w:p>
    <w:p>
      <w:pPr/>
      <w:r>
        <w:rPr>
          <w:shd w:val="clear" w:fill="eeee80"/>
        </w:rPr>
        <w:t xml:space="preserve"> وشيد بها عدة مساجد كبرى مثل مسجد الأشياخ ومسجد الشرفاء بعدما بنى قصره بعدوة القرويين،</w:t>
      </w:r>
    </w:p>
    <w:p>
      <w:pPr/>
      <w:r>
        <w:rPr>
          <w:shd w:val="clear" w:fill="eeee80"/>
        </w:rPr>
        <w:t xml:space="preserve"> وأحاط المدينة بالأسوار لحمايتها من غزو القبائل،</w:t>
      </w:r>
    </w:p>
    <w:p>
      <w:pPr/>
      <w:r>
        <w:rPr>
          <w:shd w:val="clear" w:fill="eeee80"/>
        </w:rPr>
        <w:t xml:space="preserve"> ونظرا لكونها عاصمة للمملكة وموقعها على أهم المحاور التجارية لعبت فاس دورا سياسيا ودينيا وثقافيا واقتصاديا رئيسيا للبلاد،</w:t>
      </w:r>
    </w:p>
    <w:p>
      <w:pPr/>
      <w:r>
        <w:rPr>
          <w:shd w:val="clear" w:fill="eeee80"/>
        </w:rPr>
        <w:t xml:space="preserve"> حيث أصبحت المدينة في ظرف وجيز تضاهي القيروان بتونس والفسطاط بمصر وغيرها من مدن عصرها.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2026-08-20T06:26:46+00:00</dcterms:created>
  <dcterms:modified xsi:type="dcterms:W3CDTF">2026-08-20T06:26:46+00:00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