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الإفراج الشرطي أحد الوسائل القانونية التي تهدف إلى تحقيق التوازن بين تنفيذ العقوبة وتأهيل المحكوم عليه لإعادة دمجه في المجتمع بشكل تدريجي،</w:t>
      </w:r>
    </w:p>
    <w:p>
      <w:pPr/>
      <w:r>
        <w:rPr>
          <w:shd w:val="clear" w:fill="eeee80"/>
        </w:rPr>
        <w:t xml:space="preserve"> مما يقلل من آثار السجن السلبية على الفرد والأسرة والمجتمع.</w:t>
      </w:r>
    </w:p>
    <w:p>
      <w:pPr/>
      <w:r>
        <w:rPr/>
        <w:t xml:space="preserve"> ولا يقتصر هذا النظام على منح المحكوم عليه فرصة الإفراج المبكر فحسب، بل يتطلب أيضًا تطبيق مجموعة من الإجراءات القانونية والإدارية الدقيقة التي تضمن تحقق شروط الإفراج ومتابعة الالتزام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2026-08-24T23:18:27+00:00</dcterms:created>
  <dcterms:modified xsi:type="dcterms:W3CDTF">2026-08-24T23:18:27+00:00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