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HF associates with increased level of proinflammatory cytokines andsystemic low grade inflammation.</w:t>
      </w:r>
    </w:p>
    <w:p>
      <w:pPr/>
      <w:r>
        <w:rPr/>
        <w:t xml:space="preserve"> Generalized tissue hypoperfusion resulted fromdecreased CO and peripheral vasoconstriction leads to circulatory hypoxia, cellulardamage and development of “sterile” inflammation after activation of immunecells by Damage-Associated Molecular Patterns (DAMPs). In response immunecells begin to synthetize proinflammatory cytokines IL-1, IL-6 and TNF-α.Another stimulus initiating inflammation is a hypoperfusion of the gut. Associatedbacterial enteral translocation results in endotoxinemia. Endotoxin is a potentactivator of different cells, including leukocytes and endothelial cells. High level ofproinflammatory cytokines in patients with heart failure was detected.Proinflammatory cytokines suppress myocardial contractility, participate in cardiacremodeling, lead to oxidative and nitrozative stress, stimulate rate ofcardiomyocytes loss in the failing heart, and impair ATP synthesis in the heart.Proinflammatory cytokines also lead to endothelial dysfunction, cachexia inadvanced stages of heart failure and acute phase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2026-10-19T06:00:00+00:00</dcterms:created>
  <dcterms:modified xsi:type="dcterms:W3CDTF">2026-10-19T06:00:00+00:00</dcterms:modified>
</cp:coreProperties>
</file>

<file path=docProps/custom.xml><?xml version="1.0" encoding="utf-8"?>
<Properties xmlns="http://schemas.openxmlformats.org/officeDocument/2006/custom-properties" xmlns:vt="http://schemas.openxmlformats.org/officeDocument/2006/docPropsVTypes"/>
</file>