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تأخذ هذه القناة بعين الاعتبار الصحة المالية والهيكل المالي للمقرضين والمقترضين،</w:t>
      </w:r>
    </w:p>
    <w:p>
      <w:pPr/>
      <w:r>
        <w:rPr/>
        <w:t xml:space="preserve"> كما أنها تشمل كل وسائل التمويديات الخارجية،</w:t>
      </w:r>
    </w:p>
    <w:p>
      <w:pPr/>
      <w:r>
        <w:rPr>
          <w:shd w:val="clear" w:fill="eeee80"/>
        </w:rPr>
        <w:t xml:space="preserve"> فالمقترض يلجأ إلى التمويل الأقل تكلفة والقل مخاطرة،</w:t>
      </w:r>
    </w:p>
    <w:p>
      <w:pPr/>
      <w:r>
        <w:rPr/>
        <w:t xml:space="preserve"> وفي المقابل فإن المقرض يبحث عن التوظيف الأكثر ضمانا والأكثر تعظيما للأرباح ،</w:t>
      </w:r>
    </w:p>
    <w:p>
      <w:pPr/>
      <w:r>
        <w:rPr>
          <w:shd w:val="clear" w:fill="eeee80"/>
        </w:rPr>
        <w:t xml:space="preserve"> فقناة الميزانية تعتمد على يسمى بعلاوة التمويل الخارجي و التي تعتمد على المركز المالي للمقترض،</w:t>
      </w:r>
    </w:p>
    <w:p>
      <w:pPr/>
      <w:r>
        <w:rPr/>
        <w:t xml:space="preserve"> وتمثل الفارق بين تكلفة التمويل الذاتي للمؤسسة وتمويلها عن طريق مصادر خارجية،</w:t>
      </w:r>
    </w:p>
    <w:p>
      <w:pPr/>
      <w:r>
        <w:rPr>
          <w:shd w:val="clear" w:fill="eeee80"/>
        </w:rPr>
        <w:t xml:space="preserve"> وعليه كلما زاد صافي الثروة للمقترض انخفضت علاوة التمويل الخارجي والعكس صحيح .</w:t>
      </w:r>
    </w:p>
    <w:p>
      <w:pPr/>
      <w:r>
        <w:rPr>
          <w:shd w:val="clear" w:fill="eeee80"/>
        </w:rPr>
        <w:t xml:space="preserve"> نستنتج إذن أن التقلبات في ميزانية المقترض تؤثر على شروط منح القروض ومن ثم على قرارات الاستثمار و الإنفاق الاستهلاكي .</w:t>
      </w:r>
    </w:p>
    <w:p>
      <w:pPr/>
      <w:r>
        <w:rPr/>
        <w:t xml:space="preserve"> فانخفاض أسعار الفائدة نتيجة تبني السياسة النقدية التوسعية، تؤدي إلى ارتفاع الأسعار السوقية للأصول المالية والحقيقية، أي ارتفاع العوائد المتوقع . الحصول عليها من أصول الوحدات الاقتصادية وبالتالي ارتفاع صافي ثروة هذه الوحدات وانخفاض علاوة التمويل الخارجي،</w:t>
      </w:r>
    </w:p>
    <w:p>
      <w:pPr/>
      <w:r>
        <w:rPr>
          <w:shd w:val="clear" w:fill="eeee80"/>
        </w:rPr>
        <w:t xml:space="preserve"> وهو ما ينعكس إيجابا على قدرتها على الإقراض،</w:t>
      </w:r>
    </w:p>
    <w:p>
      <w:pPr/>
      <w:r>
        <w:rPr/>
        <w:t xml:space="preserve"> فيزيد حجم إنفاقها الاستثماري وكذا إنفاقها الاستهلاكي،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2026-09-14T08:23:10+00:00</dcterms:created>
  <dcterms:modified xsi:type="dcterms:W3CDTF">2026-09-14T08:23:10+00:00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