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سلام الله على شعب اليمن ذي ذلوا الطاغوت ذي العالم تعلم والعروبة من مراجلهايمن الإيمان والقرآن والإحسان والبارود رجال أقوى من الذري ومن قوة مفاعلهامع طوفان الأقصى وأهل غزة قانتين قنوت في الساحات والجبهات تتحزم جراملهاإذا نادى ابن بدر الدين لبوا من مدن وخبوت تلب أفوج بعد أفوج ما تحصى جحافلهاصرخنا الموت لأمريكا ولإسرائيل قلنا الموت ولا الصرخة مجرد قول في الواقع نفعلهارفعنا الموت لأمريكا وعاد الناكثين سكوت وقالوا ما حد أمريكا وذا الحين نقاتلهاصنعنا فرط صوتي يقهر القبة وباتريوت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2026-09-23T20:54:17+00:00</dcterms:created>
  <dcterms:modified xsi:type="dcterms:W3CDTF">2026-09-23T20:54:17+00:00</dcterms:modified>
</cp:coreProperties>
</file>

<file path=docProps/custom.xml><?xml version="1.0" encoding="utf-8"?>
<Properties xmlns="http://schemas.openxmlformats.org/officeDocument/2006/custom-properties" xmlns:vt="http://schemas.openxmlformats.org/officeDocument/2006/docPropsVTypes"/>
</file>