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process of selling glasses Vision Pro from Apple determines the target category of people who are interested in development and creativity and children who are looking to explore educational worlds and experience games in virtual reality.</w:t>
      </w:r>
    </w:p>
    <w:p>
      <w:pPr/>
      <w:r>
        <w:rPr>
          <w:shd w:val="clear" w:fill="eeee80"/>
        </w:rPr>
        <w:t xml:space="preserve">It is also provided to companies and institutions to show employees about the experience of launching products and services and creating interactive experiences in virtual reality.</w:t>
      </w:r>
    </w:p>
    <w:p>
      <w:pPr/>
      <w:r>
        <w:rPr>
          <w:shd w:val="clear" w:fill="eeee80"/>
        </w:rPr>
        <w:t xml:space="preserve">It can also be used for the sports and entertainment category to watch matches and play games and finally in the field of medicine and treatment in exploring and improving therapeutic diagnosis.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2026-10-26T21:54:41+00:00</dcterms:created>
  <dcterms:modified xsi:type="dcterms:W3CDTF">2026-10-26T21:54:41+00:00</dcterms:modified>
</cp:coreProperties>
</file>

<file path=docProps/custom.xml><?xml version="1.0" encoding="utf-8"?>
<Properties xmlns="http://schemas.openxmlformats.org/officeDocument/2006/custom-properties" xmlns:vt="http://schemas.openxmlformats.org/officeDocument/2006/docPropsVTypes"/>
</file>