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التواصل الفعّال بين الأفراد أساسًا لبناء علاقات أقوى وثقة متبادلة.</w:t>
      </w:r>
    </w:p>
    <w:p>
      <w:pPr/>
      <w:r>
        <w:rPr>
          <w:shd w:val="clear" w:fill="eeee80"/>
        </w:rPr>
        <w:t xml:space="preserve"> تُمكّن استراتيجيات مثل الإنصات الفعّال والتعاطف الأفراد من التواصل والترابط بشكل أعمق.</w:t>
      </w:r>
    </w:p>
    <w:p>
      <w:pPr/>
      <w:r>
        <w:rPr/>
        <w:t xml:space="preserve"> عندما يكون التواصل فعّالًا - أي عندما يفهم المتلقي الرسالة تمامًا كما قصدها المرسل - فإنه يزيد الإنتاجية،</w:t>
      </w:r>
    </w:p>
    <w:p>
      <w:pPr/>
      <w:r>
        <w:rPr>
          <w:shd w:val="clear" w:fill="eeee80"/>
        </w:rPr>
        <w:t xml:space="preserve"> ويعزز الثقة بالنفس،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2026-08-17T19:17:34+00:00</dcterms:created>
  <dcterms:modified xsi:type="dcterms:W3CDTF">2026-08-17T19:17:34+00:00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