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Ultimately, I think it comes down to individual awareness and conscious decision-making.</w:t>
      </w:r>
    </w:p>
    <w:p>
      <w:pPr/>
      <w:r>
        <w:rPr/>
        <w:t xml:space="preserve"> We have the power to reclaim the authenticity of special occasions by reevaluating our priorities, resisting societal pressures, and making choices that reflect our genuine desires and intentions. </w:t>
      </w:r>
    </w:p>
    <w:p>
      <w:pPr/>
      <w:r>
        <w:rPr>
          <w:shd w:val="clear" w:fill="eeee80"/>
        </w:rPr>
        <w:t xml:space="preserve">By doing so, we can cultivate more meaningful and fulfilling celebrations that resonate on a deeper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2026-10-12T06:49:30+00:00</dcterms:created>
  <dcterms:modified xsi:type="dcterms:W3CDTF">2026-10-12T06:49:30+00:00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