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ويمتاز هذا المنهج بتحرير المسائل،</w:t>
      </w:r>
    </w:p>
    <w:p>
      <w:pPr/>
      <w:r>
        <w:rPr>
          <w:shd w:val="clear" w:fill="eeee80"/>
        </w:rPr>
        <w:t xml:space="preserve"> وتقرير القواعد الأصولية وفق الدلائل والبراهين القائمة على الاستدلال العقلي،</w:t>
      </w:r>
    </w:p>
    <w:p>
      <w:pPr/>
      <w:r>
        <w:rPr>
          <w:shd w:val="clear" w:fill="eeee80"/>
        </w:rPr>
        <w:t xml:space="preserve"> والبراهين النَّصِيَّة واللغوية والكلامية بغض النظر عن الفروع الفقهية؛</w:t>
      </w:r>
    </w:p>
    <w:p>
      <w:pPr/>
      <w:r>
        <w:rPr>
          <w:shd w:val="clear" w:fill="eeee80"/>
        </w:rPr>
        <w:t xml:space="preserve"> فخصائص هذا المنهج إجمالا ثلاث</w:t>
      </w:r>
    </w:p>
    <w:p>
      <w:pPr/>
      <w:r>
        <w:rPr>
          <w:shd w:val="clear" w:fill="eeee80"/>
        </w:rPr>
        <w:t xml:space="preserve">تتمثل في :</w:t>
      </w:r>
    </w:p>
    <w:p>
      <w:pPr/>
      <w:r>
        <w:rPr>
          <w:shd w:val="clear" w:fill="eeee80"/>
        </w:rPr>
        <w:t xml:space="preserve">(1)) الاعتماد على الاستدلال العقلي المجرد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2026-10-12T11:36:07+00:00</dcterms:created>
  <dcterms:modified xsi:type="dcterms:W3CDTF">2026-10-12T11:36:07+00:00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