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مصرف الإنماء هو مصرف سعودي يمارس الأعمال المصرفية ويقع مقره الرئيسي في مدينة الرياض،</w:t>
      </w:r>
    </w:p>
    <w:p>
      <w:pPr/>
      <w:r>
        <w:rPr>
          <w:shd w:val="clear" w:fill="eeee80"/>
        </w:rPr>
        <w:t xml:space="preserve"> حيث بدأ عمله في عام 2008</w:t>
      </w:r>
    </w:p>
    <w:p>
      <w:pPr/>
      <w:r>
        <w:rPr/>
        <w:t xml:space="preserve">الإنماء هو خيار المستقبل للخدمات المصرفية والمالية المبتكرة في المملكة العربية السعودية وفق أحدث المعايير بتوافق تام مع الضوابط والأحكام الشرعية. وبصفته شريكًا موثوقًا وممكّنًا رئيسيًا لعملائه من الشركات،</w:t>
      </w:r>
    </w:p>
    <w:p>
      <w:pPr/>
      <w:r>
        <w:rPr>
          <w:shd w:val="clear" w:fill="eeee80"/>
        </w:rPr>
        <w:t xml:space="preserve"> فقد رسّخ الإنماء مكانته كأحد أبرز المؤسسات المالية الرائدة في المملكة،</w:t>
      </w:r>
    </w:p>
    <w:p>
      <w:pPr/>
      <w:r>
        <w:rPr>
          <w:shd w:val="clear" w:fill="eeee80"/>
        </w:rPr>
        <w:t xml:space="preserve"> ملتزمًا بتقديم التميز في جميع جوانب العمل المصرفي الحديث.</w:t>
      </w:r>
    </w:p>
    <w:p>
      <w:pPr/>
      <w:r>
        <w:rPr/>
        <w:t xml:space="preserve">وانطلاقًا من فهم عميق لاحتياجات العملاء المتنامية،</w:t>
      </w:r>
    </w:p>
    <w:p>
      <w:pPr/>
      <w:r>
        <w:rPr>
          <w:shd w:val="clear" w:fill="eeee80"/>
        </w:rPr>
        <w:t xml:space="preserve"> لا يقتصر دور الإنماء على تقديم الحلول المالية لتلبية متطلبات اليوم،</w:t>
      </w:r>
    </w:p>
    <w:p>
      <w:pPr/>
      <w:r>
        <w:rPr/>
        <w:t xml:space="preserve"> بل يعمل أيضًا على تمكينهم لتحقيق نموهم المالي المستدام في المستقبل.</w:t>
      </w:r>
    </w:p>
    <w:p>
      <w:pPr/>
      <w:r>
        <w:rPr>
          <w:shd w:val="clear" w:fill="eeee80"/>
        </w:rPr>
        <w:t xml:space="preserve"> ومن خلال تبني نموذج مصرفي رقمي متكامل،</w:t>
      </w:r>
    </w:p>
    <w:p>
      <w:pPr/>
      <w:r>
        <w:rPr/>
        <w:t xml:space="preserve"> والتحليلات المبنية على البيانات لتوفير تجربة مصرفية سريعة،</w:t>
      </w:r>
    </w:p>
    <w:p>
      <w:pPr/>
      <w:r>
        <w:rPr>
          <w:shd w:val="clear" w:fill="eeee80"/>
        </w:rPr>
        <w:t xml:space="preserve"> سواء عبر الأدوات المالية المعززة بالذكاء الاصطناعي،</w:t>
      </w:r>
    </w:p>
    <w:p>
      <w:pPr/>
      <w:r>
        <w:rPr/>
        <w:t xml:space="preserve"> يسهم الإنماء في تعزيز الكفاءة التشغيلية،</w:t>
      </w:r>
    </w:p>
    <w:p>
      <w:pPr/>
      <w:r>
        <w:rPr>
          <w:shd w:val="clear" w:fill="eeee80"/>
        </w:rPr>
        <w:t xml:space="preserve"> والارتقاء بجودة الخدمات،</w:t>
      </w:r>
    </w:p>
    <w:p>
      <w:pPr/>
      <w:r>
        <w:rPr>
          <w:shd w:val="clear" w:fill="eeee80"/>
        </w:rPr>
        <w:t xml:space="preserve">وضمان تجربة مصرفية تمنح العملاء الثقة والتحكم الكامل في تعاملاتهم المالية.</w:t>
      </w:r>
    </w:p>
    <w:p>
      <w:pPr/>
      <w:r>
        <w:rPr/>
        <w:t xml:space="preserve">وبالتوافق مع رؤية السعودية 2030 وما تحمله من فرص واعدة لتنمية الاقتصادي الوطني،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2026-09-25T16:59:19+00:00</dcterms:created>
  <dcterms:modified xsi:type="dcterms:W3CDTF">2026-09-25T16:59:19+00:00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