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يعرف المشرع الجزائري هذه الرخصة صراحة منتهجا في ذلك الطريقة نفسها بالنسبة لباقي الرخص والشهادات العمرانية،</w:t>
      </w:r>
    </w:p>
    <w:p>
      <w:pPr/>
      <w:r>
        <w:rPr>
          <w:shd w:val="clear" w:fill="eeee80"/>
        </w:rPr>
        <w:t xml:space="preserve"> فقد إكتفت المادة 60 من القانون رقم 90-29 المتعلق بالتهيئة والتعمير المعدل والمتمم  بنصها ": يخضع كل هدم كلي أو جزئي لرخصة البناء في المناطق المشار إليها في المادة 46 ،</w:t>
      </w:r>
    </w:p>
    <w:p>
      <w:pPr/>
      <w:r>
        <w:rPr/>
        <w:t xml:space="preserve"> أو كلما إقتضت ذلك الشروط التقنية والأمنية  وهو الأمر الذي أكدته المادة 70 من المرسوم التنفيذي رقم 15- 19   التي إكتفت بتحديد نطاقها الموضوعي بقولها": تطبيقا لأحكام المادة 60 من القانون رقم 90-29 المؤرخ في أول ديسمبر سنة 1990والمذكور أعلاه،</w:t>
      </w:r>
    </w:p>
    <w:p>
      <w:pPr/>
      <w:r>
        <w:rPr>
          <w:shd w:val="clear" w:fill="eeee80"/>
        </w:rPr>
        <w:t xml:space="preserve"> لا يمكن القيام بأية عملية هدم جزئية أو كلية لبناية دون الحصول مسبقا على رخصة الهدم،</w:t>
      </w:r>
    </w:p>
    <w:p>
      <w:pPr/>
      <w:r>
        <w:rPr/>
        <w:t xml:space="preserve"> وذلك عندما تكون هذه البناية محمية بأحكام القانون رقم 98-04 المتعلق بحماية التراث 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2026-09-30T11:36:49+00:00</dcterms:created>
  <dcterms:modified xsi:type="dcterms:W3CDTF">2026-09-30T11:36:49+00:00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