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الإثراء بلا سبب أو كما يسميه القانون العماني الفعل النافع مصدراً عاماً من مصادر الالتزام،</w:t>
      </w:r>
    </w:p>
    <w:p>
      <w:pPr/>
      <w:r>
        <w:rPr>
          <w:shd w:val="clear" w:fill="eeee80"/>
        </w:rPr>
        <w:t xml:space="preserve"> يقوم إلى جانب المصادر الأخرى.</w:t>
      </w:r>
    </w:p>
    <w:p>
      <w:pPr/>
      <w:r>
        <w:rPr>
          <w:shd w:val="clear" w:fill="eeee80"/>
        </w:rPr>
        <w:t xml:space="preserve"> وهو مصدر أصلي شانه شأن المصادر الأخرى.</w:t>
      </w:r>
    </w:p>
    <w:p>
      <w:pPr/>
      <w:r>
        <w:rPr>
          <w:shd w:val="clear" w:fill="eeee80"/>
        </w:rPr>
        <w:t xml:space="preserve"> وبهذا يختلف القانونين المصري والعماني عن القانون الفرنسي الذي يجعل لدعوى الإثراء بلا سبب الصفة الاحتياطية،</w:t>
      </w:r>
    </w:p>
    <w:p>
      <w:pPr/>
      <w:r>
        <w:rPr>
          <w:shd w:val="clear" w:fill="eeee80"/>
        </w:rPr>
        <w:t xml:space="preserve"> بحيث لا يجوز الالتجاء إليها إلا إذا لم توجد وسيلة قانونية أخرى (1) وينشأ الإثراء بلا سبب من واقعة قانونية وليس من تصرف قانوني،</w:t>
      </w:r>
    </w:p>
    <w:p>
      <w:pPr/>
      <w:r>
        <w:rPr>
          <w:shd w:val="clear" w:fill="eeee80"/>
        </w:rPr>
        <w:t xml:space="preserve"> وتتمثل هذه الواقعة في حدوث افتقار في ذمة شخص وإثراء في ذمة شخص آخر دون وجود سبب قانوني للإثراء.</w:t>
      </w:r>
    </w:p>
    <w:p>
      <w:pPr/>
      <w:r>
        <w:rPr>
          <w:shd w:val="clear" w:fill="eeee80"/>
        </w:rPr>
        <w:t xml:space="preserve"> والأساس الذي يقوم عليه الإثراء بلا سبب هو قواعد العدالة التي تأبى أن يثري شخص بلا سبب على حساب شخص آخر،</w:t>
      </w:r>
    </w:p>
    <w:p>
      <w:pPr/>
      <w:r>
        <w:rPr>
          <w:shd w:val="clear" w:fill="eeee80"/>
        </w:rPr>
        <w:t xml:space="preserve"> دون أن يلتزم المثري بتعويض المفتقر.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2026-10-20T02:49:36+00:00</dcterms:created>
  <dcterms:modified xsi:type="dcterms:W3CDTF">2026-10-20T02:49:36+00:00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