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يقال عن الاعلام المرئي يقال  كذلك عن الاعلام المطبوع اذا لم يعد القارئ مظطرا للانتظار الى الغد كي يقرا في صحيفته المفضلة  تفاصيل خبر للتو بل يكفيه ان يزور  موقع الصحيفة على شبكة الانترنت لمتابعة تفاصيل الحذث بالتزامن مع لحظة وقوعه  وهذا مالم  يكن متوفرا قبل عصر  الاعلام الجديد او قبل انتشار الشبكة العنكبوتية .     وما ينطبق على الاعلام المرئي والاعلام المطبوع ينسحب كذالك على الاعلام الاذاعي فالمباشرة والجدة والفورية اصبحت جميعها سمات اساسية في عملية الاخبارية في كل الوسائل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