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المادة الرابعة عشرة:</w:t>
      </w:r>
    </w:p>
    <w:p>
      <w:pPr/>
      <w:r>
        <w:rPr>
          <w:shd w:val="clear" w:fill="eeee80"/>
        </w:rPr>
        <w:t xml:space="preserve">يلتزم الطالب بحضور الوحدة الدراسية - حضورياً أو افتراضياً - وفقاً لأنماط التعليم المحددة في الخطة الدراسية،</w:t>
      </w:r>
    </w:p>
    <w:p>
      <w:pPr/>
      <w:r>
        <w:rPr>
          <w:shd w:val="clear" w:fill="eeee80"/>
        </w:rPr>
        <w:t xml:space="preserve"> ويُحرم من دخول الاختبار النهائي إذا قلت نسبة حضوره عن النسبة التي يحددها مجلس الجامعة،</w:t>
      </w:r>
    </w:p>
    <w:p>
      <w:pPr/>
      <w:r>
        <w:rPr>
          <w:shd w:val="clear" w:fill="eeee80"/>
        </w:rPr>
        <w:t xml:space="preserve"> ويُعد الطالب الذي حرم من دخول الاختبار بسبب الغياب راسباً في المقرر الدراسي،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2026-08-22T06:12:26+00:00</dcterms:created>
  <dcterms:modified xsi:type="dcterms:W3CDTF">2026-08-22T06:12:26+00:00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