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الإنسان في حاجة الى الآخر </w:t>
      </w:r>
    </w:p>
    <w:p>
      <w:pPr/>
      <w:r>
        <w:rPr>
          <w:shd w:val="clear" w:fill="eeee80"/>
        </w:rPr>
        <w:t xml:space="preserve">- الإنسان في حاجة الى أن يعيش في اطار مجموعة لتوفير حاجياته </w:t>
      </w:r>
    </w:p>
    <w:p>
      <w:pPr/>
      <w:r>
        <w:rPr>
          <w:shd w:val="clear" w:fill="eeee80"/>
        </w:rPr>
        <w:t xml:space="preserve">- لا بعد أن يعيش الانسان في مجموعة </w:t>
      </w:r>
    </w:p>
    <w:p>
      <w:pPr/>
      <w:r>
        <w:rPr>
          <w:shd w:val="clear" w:fill="eeee80"/>
        </w:rPr>
        <w:t xml:space="preserve">- القانون ينظم العلاقات بين الافراد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2026-10-19T08:44:18+00:00</dcterms:created>
  <dcterms:modified xsi:type="dcterms:W3CDTF">2026-10-19T08:44:18+00:00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