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2- تعد الأوبئة والكوارث الطبيعية والاضطرابات الجيوسياسية أمثلة على الأحداث التي يمكن أن تؤثر على أعمال DHL وتعطل سلسلة التوريد.</w:t>
      </w:r>
    </w:p>
    <w:p>
      <w:pPr/>
      <w:r>
        <w:rPr>
          <w:shd w:val="clear" w:fill="eeee80"/>
        </w:rPr>
        <w:t xml:space="preserve">  تعالج DHL هذه المشكلة من خلال ممارسات قوية لإدارة المخاطر،</w:t>
      </w:r>
    </w:p>
    <w:p>
      <w:pPr/>
      <w:r>
        <w:rPr/>
        <w:t xml:space="preserve"> بما في ذلك الخطط الاحتياطية، واستخدام التحليلات التنبؤية لتوقع أي اضطرابات وتخفيفها.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2026-10-09T12:03:41+00:00</dcterms:created>
  <dcterms:modified xsi:type="dcterms:W3CDTF">2026-10-09T12:03:41+00:00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