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ولذلك فإن الانتقال إلى ممارسات جديدة في تخطيط المدن لا يمكن أن يأتي، من التغييرات الفعالة أو القانونية وحدها، بل سيتطلب تمزقين على الأقل،</w:t>
      </w:r>
    </w:p>
    <w:p>
      <w:pPr/>
      <w:r>
        <w:rPr>
          <w:shd w:val="clear" w:fill="eeee80"/>
        </w:rPr>
        <w:t xml:space="preserve"> إن لم يكن ثلاثة:</w:t>
      </w:r>
    </w:p>
    <w:p>
      <w:pPr/>
      <w:r>
        <w:rPr/>
        <w:t xml:space="preserve"> - كسر جهاز القطاعية من الناحية الذرائعية من خلال إعادة تشكيل السلسلة المنطقية للخطط المتداخلة والهرمية للانتقال إلى سجل الإلزام ما تبقى للحظة ترتيب مفعول "الإعلان". - انهيار المفاهيم السلطوية للدولة (الديمقراطية، دون إمكانية عقوبة.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2026-09-15T11:16:21+00:00</dcterms:created>
  <dcterms:modified xsi:type="dcterms:W3CDTF">2026-09-15T11:16:21+00:00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