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الفكرة الأساسية لإيطاليا هي أن أي تدخل يجب أن يكون متناغماً مع البيئة التي يقع فيها،</w:t>
      </w:r>
    </w:p>
    <w:p>
      <w:pPr/>
      <w:r>
        <w:rPr>
          <w:shd w:val="clear" w:fill="eeee80"/>
        </w:rPr>
        <w:t xml:space="preserve"> وبالتالي فإن جميع الممارسات تهدف إلى جعل الترميم مبنى بحيث يكون جزءاً كاملاً من العمارة القائمة.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2026-10-19T01:43:29+00:00</dcterms:created>
  <dcterms:modified xsi:type="dcterms:W3CDTF">2026-10-19T01:43:29+00:00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