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ويعنى ذلك أنه يجب أن تكون القاعدة القانونية موجهة للعامة بصفاتهم لا بذاتهم،</w:t>
      </w:r>
    </w:p>
    <w:p>
      <w:pPr/>
      <w:r>
        <w:rPr>
          <w:shd w:val="clear" w:fill="eeee80"/>
        </w:rPr>
        <w:t xml:space="preserve"> ومعنى ذلك أن القاعدة القانونية يجب أن تكون عامة ومجردة لا تخص شخصاً معيناً بالذات،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2026-09-18T14:58:18+00:00</dcterms:created>
  <dcterms:modified xsi:type="dcterms:W3CDTF">2026-09-18T14:58:18+00:00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