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التجارة الخارجية من أهم القطاعات الحيوية في أي اقتصاد حيث تعتبر هذا المؤشر الجوهري على</w:t>
      </w:r>
    </w:p>
    <w:p>
      <w:pPr/>
      <w:r>
        <w:rPr>
          <w:shd w:val="clear" w:fill="eeee80"/>
        </w:rPr>
        <w:t xml:space="preserve">القدرة اإلنتاجية والتنافسية للدولة،</w:t>
      </w:r>
    </w:p>
    <w:p>
      <w:pPr/>
      <w:r>
        <w:rPr>
          <w:shd w:val="clear" w:fill="eeee80"/>
        </w:rPr>
        <w:t xml:space="preserve"> فالتجارة الخارجية تربط الدول والمجتمعات مع بعضها البعض وتساعد</w:t>
      </w:r>
    </w:p>
    <w:p>
      <w:pPr/>
      <w:r>
        <w:rPr>
          <w:shd w:val="clear" w:fill="eeee80"/>
        </w:rPr>
        <w:t xml:space="preserve">في توسيع القدرة التسويقية عن طريق فتح أسواق جديدة أمام منتجات الدولة،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2026-10-20T09:23:53+00:00</dcterms:created>
  <dcterms:modified xsi:type="dcterms:W3CDTF">2026-10-20T09:23:53+00:00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