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يرتكز برنامج TaRL على مبدأ أساسي يتمثل في </w:t>
      </w:r>
    </w:p>
    <w:p>
      <w:pPr/>
      <w:r>
        <w:rPr>
          <w:shd w:val="clear" w:fill="eeee80"/>
        </w:rPr>
        <w:t xml:space="preserve">االعتراف بقدرة كل متعلم)ة( على بناء معارفه،</w:t>
      </w:r>
    </w:p>
    <w:p>
      <w:pPr/>
      <w:r>
        <w:rPr>
          <w:shd w:val="clear" w:fill="eeee80"/>
        </w:rPr>
        <w:t xml:space="preserve"> إذ يلعب </w:t>
      </w:r>
    </w:p>
    <w:p>
      <w:pPr/>
      <w:r>
        <w:rPr>
          <w:shd w:val="clear" w:fill="eeee80"/>
        </w:rPr>
        <w:t xml:space="preserve">الميسر دور الوساطة لتيسير تلك القدرة بعيدا عن التلقين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2026-10-17T23:14:07+00:00</dcterms:created>
  <dcterms:modified xsi:type="dcterms:W3CDTF">2026-10-17T23:14:07+00:00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