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وبالرغم من الجهود التي تبذلها الحكومة السورية في رسم السياسة الخارجية وتطويرها في سبيل تصحيح الخلل في الميزان التجاري،</w:t>
      </w:r>
    </w:p>
    <w:p>
      <w:pPr/>
      <w:r>
        <w:rPr>
          <w:shd w:val="clear" w:fill="eeee80"/>
        </w:rPr>
        <w:t xml:space="preserve"> لأن سياسات التصنيع لم تستطع تلبية حاجات السكان وتوفير فائض يوجه للتصدير بالإضافة إلى أن صادرات سورية بمعظمها إلى البلدان العربية أما الواردات فيأتي معظمها من البلدان الأوروبية،</w:t>
      </w:r>
    </w:p>
    <w:p>
      <w:pPr/>
      <w:r>
        <w:rPr>
          <w:shd w:val="clear" w:fill="eeee80"/>
        </w:rPr>
        <w:t xml:space="preserve"> مما يعني استغلال الميزة النسبية لموقع سورية وسهولة اتصالها بالعالم الخارجي على الميزة النسبية لإمكانية التخصص في العمل والإنتاج بالاعتماد على الموارد المحلية.</w:t>
      </w:r>
    </w:p>
    <w:p>
      <w:pPr/>
      <w:r>
        <w:rPr>
          <w:shd w:val="clear" w:fill="eeee80"/>
        </w:rPr>
        <w:t xml:space="preserve">إن التغير في مؤشرات التنمية المستدامة كان في تزايد بالرغم من أن هذه الزيادة لم تكن على المستوى المقبول،</w:t>
      </w:r>
    </w:p>
    <w:p>
      <w:pPr/>
      <w:r>
        <w:rPr>
          <w:shd w:val="clear" w:fill="eeee80"/>
        </w:rPr>
        <w:t xml:space="preserve"> أما المؤشرات الاجتماعية فإن بعضها تحقق بسبب الاستثمار في التعليم والصحة كهدف للألفية قبل عام 2015،</w:t>
      </w:r>
    </w:p>
    <w:p>
      <w:pPr/>
      <w:r>
        <w:rPr>
          <w:shd w:val="clear" w:fill="eeee80"/>
        </w:rPr>
        <w:t xml:space="preserve"> غير أن التغيرات التي شهدها الاقتصاد لم تنعكس على المؤشرات الاجتماعية بشكل إيجابي،</w:t>
      </w:r>
    </w:p>
    <w:p>
      <w:pPr/>
      <w:r>
        <w:rPr>
          <w:shd w:val="clear" w:fill="eeee80"/>
        </w:rPr>
        <w:t xml:space="preserve"> بل زادت من معدل الفقر ومعدل البطالة مما يدل على المشكلات الكبيرة في السياسات الاقتصادية الكلية،</w:t>
      </w:r>
    </w:p>
    <w:p>
      <w:pPr/>
      <w:r>
        <w:rPr>
          <w:shd w:val="clear" w:fill="eeee80"/>
        </w:rPr>
        <w:t xml:space="preserve"> أما المؤشرات البيئية فقد كان تأثرها بالاستثمار سلبية،</w:t>
      </w:r>
    </w:p>
    <w:p>
      <w:pPr/>
      <w:r>
        <w:rPr>
          <w:shd w:val="clear" w:fill="eeee80"/>
        </w:rPr>
        <w:t xml:space="preserve"> أي ارتفعت حدة التلوث وزادت مساحة الأراضي الزراعية التي أصبحت كتل إسمنت،</w:t>
      </w:r>
    </w:p>
    <w:p>
      <w:pPr/>
      <w:r>
        <w:rPr>
          <w:shd w:val="clear" w:fill="eeee80"/>
        </w:rPr>
        <w:t xml:space="preserve"> وتوسع التصحر بالإضافة إلى عدم مراعاة الشروط البيئية من قبل الاستثمارات العامة أو الخاصة،</w:t>
      </w:r>
    </w:p>
    <w:p>
      <w:pPr/>
      <w:r>
        <w:rPr>
          <w:shd w:val="clear" w:fill="eeee80"/>
        </w:rPr>
        <w:t xml:space="preserve"> وعدم البحث عن المصادر البديلة للطاقة وغيرها من الطاقات المتجددة في سورية.</w:t>
      </w:r>
    </w:p>
    <w:p>
      <w:pPr/>
      <w:r>
        <w:rPr>
          <w:shd w:val="clear" w:fill="eeee80"/>
        </w:rPr>
        <w:t xml:space="preserve">اما في العراق فنلاحظ من الجدول السابق تباين واضح في معدل النمو الاقتصادي والسبب يعود إلى الظروف التي مر بها العراق،</w:t>
      </w:r>
    </w:p>
    <w:p>
      <w:pPr/>
      <w:r>
        <w:rPr>
          <w:shd w:val="clear" w:fill="eeee80"/>
        </w:rPr>
        <w:t xml:space="preserve"> وتعود أسباب ارتفاع معدل النمو الاقتصادي بين 2010 و2011و2012إلى سياسات الانفتاح الاقتصادي،</w:t>
      </w:r>
    </w:p>
    <w:p>
      <w:pPr/>
      <w:r>
        <w:rPr>
          <w:shd w:val="clear" w:fill="eeee80"/>
        </w:rPr>
        <w:t xml:space="preserve"> وقانون الاستثمار العراقي رقم 13  الذين أتاحوا الفرصة لنمو القطاع الخاص وإنتاج النفط،</w:t>
      </w:r>
    </w:p>
    <w:p>
      <w:pPr/>
      <w:r>
        <w:rPr>
          <w:shd w:val="clear" w:fill="eeee80"/>
        </w:rPr>
        <w:t xml:space="preserve"> أما انخفاض المعدل بين 2016 و2017 و2018 فيعود الى  بسبب الانكماش الاقتصادي الذي كان من سمات هذه الفترة،</w:t>
      </w:r>
    </w:p>
    <w:p>
      <w:pPr/>
      <w:r>
        <w:rPr>
          <w:shd w:val="clear" w:fill="eeee80"/>
        </w:rPr>
        <w:t xml:space="preserve"> وتراجع الاستثمار الخاص بسبب سياسات الدولة المالية والنقدية بتثبيت معدل الفائدة وتجميد الرواتب والأجور وغيرها،</w:t>
      </w:r>
    </w:p>
    <w:p>
      <w:pPr/>
      <w:r>
        <w:rPr>
          <w:shd w:val="clear" w:fill="eeee80"/>
        </w:rPr>
        <w:t xml:space="preserve"> والشكل التالي يبين تطور معدل النمو الاقتصادي في العراق .</w:t>
      </w:r>
    </w:p>
    <w:p>
      <w:pPr/>
      <w:r>
        <w:rPr>
          <w:shd w:val="clear" w:fill="eeee80"/>
        </w:rPr>
        <w:t xml:space="preserve">اما السنوات 2019 و2020  فقد شهدت ارتفاعا في الفائض الاقتصادي بسبب تحسن في أسعار النفط وزيادة الصادرات وزيادة صادرات القطاع الخاص إلى دول الجوار.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2026-09-15T20:04:40+00:00</dcterms:created>
  <dcterms:modified xsi:type="dcterms:W3CDTF">2026-09-15T20:04:40+00:00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