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 صلاحية السلطة العليا للشفافية والوقاية من الفساد ومكافحته</w:t>
      </w:r>
    </w:p>
    <w:p>
      <w:pPr/>
      <w:r>
        <w:rPr>
          <w:shd w:val="clear" w:fill="eeee80"/>
        </w:rPr>
        <w:t xml:space="preserve">تتمتع السلطة العليا للشفافية والوقاية من الفساد ومكافحته بالعديد من الصلاحيات بعضها تعتبر صلاحيات حقيقية مكنتها من ممارسة امتيازات السلطة العامة ولاسيما مظهر إصدار القرارات التنظيمية بما يسمح لها بتحقيق الأهداف التي أنشئت من أجلها والمتمثلة في تكريس الشفافية والوقاية من الفساد أخلقة الحياة العامة خلافا للدور الاستشاري البحث الممنوح للهيئة الوطنية للوقاية من الفساد وو مكافحته،</w:t>
      </w:r>
    </w:p>
    <w:p>
      <w:pPr/>
      <w:r>
        <w:rPr/>
        <w:t xml:space="preserve"> وبعد صدور التعديل الدستوري 2020 و صدور قانون 08/22 السابق الذكر، أدى إلى توسيع من صلاحيات السلطة العليا للشفافية للوقاية من الفساد وو مكافحته، وهو ما يظهر جليا في نص المادة 205 من التعديل الدستوري 2020 ،</w:t>
      </w:r>
    </w:p>
    <w:p>
      <w:pPr/>
      <w:r>
        <w:rPr>
          <w:shd w:val="clear" w:fill="eeee80"/>
        </w:rPr>
        <w:t xml:space="preserve"> والمواد من 04 إلى 13 من القانون 08/22 السابق ذكره حيث من استحداث اختصاصات جديدة لها لم تكن من مهام الهيئة الوطنية للوقاية من الفساد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2026-11-01T17:03:29+00:00</dcterms:created>
  <dcterms:modified xsi:type="dcterms:W3CDTF">2026-11-01T17:03:29+00:00</dcterms:modified>
</cp:coreProperties>
</file>

<file path=docProps/custom.xml><?xml version="1.0" encoding="utf-8"?>
<Properties xmlns="http://schemas.openxmlformats.org/officeDocument/2006/custom-properties" xmlns:vt="http://schemas.openxmlformats.org/officeDocument/2006/docPropsVTypes"/>
</file>