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نتعاون مع مجموعة واسعة من الشركاء،  للاستفادة من الموارد وتبادل الخبرات وتوسيع نطاق وصولنا وتأثيرنا.  نعمل معًا لتحقيق هدفنا المشترك المتمثل في إنهاء التشرد وبناء مجتمع أكثر إنصافًا وشمولاً.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