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 يتم استخدام النقدية بشكل أساسي لمعاملات اليومية وتلبية متطلبات الاحتياطي النقدي.  تُظهر الميزانية العمومية للبنك تركيزًا قويًا على القروض كمحرك رئيسي للأرباح.  بينما تُشكل الأوراق المالية مصدرًا مهمًا للدخل وتنويع الأصول.  وإن فهم الميزانيات العمومية للبنوك والاختلافات بينها وبين الميزانيات العمومية للشركات العادية ضروري لتحليل المركز المالي للبنك بشكل فعال واتخاذ قرارات استثمارية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