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الاعتناء بالقلب، ليس من الناحية الطبية فقط، بل من الناحية الروحية والإيمانية.  يركز الكلام على أن يوم القيامة يُسأل الإنسان عن حال قلبه فقط، وأن سعيه ينصب على تقوية إيمانه ونقاء قلبه.  يُشرح الكلام  أن أمراض القلب، المقصود بها هنا أمراض الروح كالحقد والكره والرياء،  تحتاج لعلاج روحي لا علاجي جسدي فقط.  يجب البحث عن هذه "الأمراض" في النفس، تمامًا كما يبحث الطبيب عن أعراض المرض الجسدي.  القلب محل الإيمان والطمأنينة، والطمأنينة الحقيقية تأتي من ذكر الله.  يُؤكد الكلام أن القرآن الكريم يربط المرض بمرض القلب من الناحية الإيمانية،  وليس بالأمراض الجسدية فقط.  في النهاية، يُشدد على أن الشفاء الحقيقي يأتي من الله وحده، وهو شفاء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