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بمدح المصطفى تحيا القلوب </w:t>
      </w:r>
    </w:p>
    <w:p>
      <w:pPr/>
      <w:r>
        <w:rPr>
          <w:shd w:val="clear" w:fill="eeee80"/>
        </w:rPr>
        <w:t xml:space="preserve">            وتغتفر الخطايا والذنوب </w:t>
      </w:r>
    </w:p>
    <w:p>
      <w:pPr/>
      <w:r>
        <w:rPr>
          <w:shd w:val="clear" w:fill="eeee80"/>
        </w:rPr>
        <w:t xml:space="preserve">            يسر بحسنه القلب الكئيب</w:t>
      </w:r>
    </w:p>
    <w:p>
      <w:pPr/>
      <w:r>
        <w:rPr>
          <w:shd w:val="clear" w:fill="eeee80"/>
        </w:rPr>
        <w:t xml:space="preserve">كأن حديثه زهر نضير</w:t>
      </w:r>
    </w:p>
    <w:p>
      <w:pPr/>
      <w:r>
        <w:rPr>
          <w:shd w:val="clear" w:fill="eeee80"/>
        </w:rPr>
        <w:t xml:space="preserve">           وحامل زهره غصن رطيب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2026-11-01T15:25:30+00:00</dcterms:created>
  <dcterms:modified xsi:type="dcterms:W3CDTF">2026-11-01T15:25:30+00:00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