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١. المرسل: أصبح المرسل مخيرا في تحرير رسالته من خلال الاتصال المباشر الشبكي أو من خلال المسارات المحكومة برقابة حارس البوابة،</w:t>
      </w:r>
    </w:p>
    <w:p>
      <w:pPr/>
      <w:r>
        <w:rPr/>
        <w:t xml:space="preserve"> وأتيحت الفرصة للمرسل التعرف على رجع الصدى الناتج من رسائله أولاً بأول.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2026-10-08T10:42:39+00:00</dcterms:created>
  <dcterms:modified xsi:type="dcterms:W3CDTF">2026-10-08T10:42:39+00:00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