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يعة الواجبة التطبيق عند اإلسناد لقتعتبر مسألة تحديد الشنون دولة متعددة الش ائع منر</w:t>
      </w:r>
    </w:p>
    <w:p>
      <w:pPr/>
      <w:r>
        <w:rPr>
          <w:shd w:val="clear" w:fill="eeee80"/>
        </w:rPr>
        <w:t xml:space="preserve"> ت جدال واسعا في فقه القانون الدولي الخاص،</w:t>
      </w:r>
    </w:p>
    <w:p>
      <w:pPr/>
      <w:r>
        <w:rPr>
          <w:shd w:val="clear" w:fill="eeee80"/>
        </w:rPr>
        <w:t xml:space="preserve"> والتعدد على هذا النحو قد يكوالمسائل التي أثار</w:t>
      </w:r>
    </w:p>
    <w:p>
      <w:pPr/>
      <w:r>
        <w:rPr>
          <w:shd w:val="clear" w:fill="eeee80"/>
        </w:rPr>
        <w:t xml:space="preserve">تعددا شخصيا وقد يكون تعددا إقليمي،</w:t>
      </w:r>
    </w:p>
    <w:p>
      <w:pPr/>
      <w:r>
        <w:rPr>
          <w:shd w:val="clear" w:fill="eeee80"/>
        </w:rPr>
        <w:t xml:space="preserve">   ف يكونالتعدد الشخصي أو الطائف اء بحسب الديانة أوفي الدول ذات االنقسام الطائفي س</w:t>
      </w:r>
    </w:p>
    <w:p>
      <w:pPr/>
      <w:r>
        <w:rPr>
          <w:shd w:val="clear" w:fill="eeee80"/>
        </w:rPr>
        <w:t xml:space="preserve">ايعتها الخاصة بق،</w:t>
      </w:r>
    </w:p>
    <w:p>
      <w:pPr/>
      <w:r>
        <w:rPr>
          <w:shd w:val="clear" w:fill="eeee80"/>
        </w:rPr>
        <w:t xml:space="preserve"> كما هو الحال في مصر ولبنان وس يار</w:t>
      </w:r>
    </w:p>
    <w:p>
      <w:pPr/>
      <w:r>
        <w:rPr>
          <w:shd w:val="clear" w:fill="eeee80"/>
        </w:rPr>
        <w:t xml:space="preserve"> أما التعدد اإلقليم فينطبق على الدول المقسمة إلى أقاليم بحيث يكون لكل إقليم منه</w:t>
      </w:r>
    </w:p>
    <w:p>
      <w:pPr/>
      <w:r>
        <w:rPr>
          <w:shd w:val="clear" w:fill="eeee80"/>
        </w:rPr>
        <w:t xml:space="preserve">يعته الخاصة بشر،</w:t>
      </w:r>
    </w:p>
    <w:p>
      <w:pPr/>
      <w:r>
        <w:rPr>
          <w:shd w:val="clear" w:fill="eeee80"/>
        </w:rPr>
        <w:t xml:space="preserve"> ا وكنديكية وسويسراليات المتحدة اؤلمكما هو الحال في ال.</w:t>
      </w:r>
    </w:p>
    <w:p>
      <w:pPr/>
      <w:r>
        <w:rPr>
          <w:shd w:val="clear" w:fill="eeee80"/>
        </w:rPr>
        <w:t xml:space="preserve">    و عاه قد يكون تنازهو بدورع داخلي بين القوانين،</w:t>
      </w:r>
    </w:p>
    <w:p>
      <w:pPr/>
      <w:r>
        <w:rPr>
          <w:shd w:val="clear" w:fill="eeee80"/>
        </w:rPr>
        <w:t xml:space="preserve"> تب على هذا التعداد إمكانية حصول تنازيتر</w:t>
      </w:r>
    </w:p>
    <w:p>
      <w:pPr/>
      <w:r>
        <w:rPr>
          <w:shd w:val="clear" w:fill="eeee80"/>
        </w:rPr>
        <w:t xml:space="preserve"> .)اليا أو ناتجا عن ضم اؤلقاليعا إقليميا (فدرقي)،</w:t>
      </w:r>
    </w:p>
    <w:p>
      <w:pPr/>
      <w:r>
        <w:rPr>
          <w:shd w:val="clear" w:fill="eeee80"/>
        </w:rPr>
        <w:t xml:space="preserve">فإذا كانت قواعد اإلسناد الوطنية تشير باختصاص قانون أجنبي لدولة تتعد فايها الشرئع،</w:t>
      </w:r>
    </w:p>
    <w:p>
      <w:pPr/>
      <w:r>
        <w:rPr>
          <w:shd w:val="clear" w:fill="eeee80"/>
        </w:rPr>
        <w:t xml:space="preserve">يثور التساؤ ىيعة الداخلية التي يتعين تطبيقها على واقعة الدععن الشر،</w:t>
      </w:r>
    </w:p>
    <w:p>
      <w:pPr/>
      <w:r>
        <w:rPr>
          <w:shd w:val="clear" w:fill="eeee80"/>
        </w:rPr>
        <w:t xml:space="preserve">اختيار هذه ائع المتيعة من بين الشرالشرعددة التي يتضمنها هذا القانون؟ </w:t>
      </w:r>
    </w:p>
    <w:p>
      <w:pPr/>
      <w:r>
        <w:rPr>
          <w:shd w:val="clear" w:fill="eeee80"/>
        </w:rPr>
        <w:t xml:space="preserve"> تتبط ارفإن الحل لديها ي باطا وثيق</w:t>
      </w:r>
    </w:p>
    <w:p>
      <w:pPr/>
      <w:r>
        <w:rPr>
          <w:shd w:val="clear" w:fill="eeee80"/>
        </w:rPr>
        <w:t xml:space="preserve">بتفسير ق اعدة اإلسناد الوطنية،</w:t>
      </w:r>
    </w:p>
    <w:p>
      <w:pPr/>
      <w:r>
        <w:rPr>
          <w:shd w:val="clear" w:fill="eeee80"/>
        </w:rPr>
        <w:t xml:space="preserve"> إذ يتعين على القاضي الوطني أن يحدد المقصود بلفظ القانون</w:t>
      </w:r>
    </w:p>
    <w:p>
      <w:pPr/>
      <w:r>
        <w:rPr>
          <w:shd w:val="clear" w:fill="eeee80"/>
        </w:rPr>
        <w:t xml:space="preserve"> يائرع الجزأما المشر،</w:t>
      </w:r>
    </w:p>
    <w:p>
      <w:pPr/>
      <w:r>
        <w:rPr>
          <w:shd w:val="clear" w:fill="eeee80"/>
        </w:rPr>
        <w:t xml:space="preserve"> فقد عالج المشكلة بموجب الماد00 من القانون المدني،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2026-08-18T14:22:49+00:00</dcterms:created>
  <dcterms:modified xsi:type="dcterms:W3CDTF">2026-08-18T14:22:49+00:00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