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الغرامة التهديدية التهديد المالي)</w:t>
      </w:r>
    </w:p>
    <w:p>
      <w:pPr/>
      <w:r>
        <w:rPr/>
        <w:t xml:space="preserve">من الوسائل غير المباشرة التي نص عليها المشرع الحمل المدين على التنفيذ العيني هي الغرامة التهديدية. وفي هذا الشأن تنص المادة (213) مدني، على أنه : 1- إذا كان تنفيذ الالتزام عينيًا غير ممكن أو غير ملائم إلا إذا قام به المدين نفسه،</w:t>
      </w:r>
    </w:p>
    <w:p>
      <w:pPr/>
      <w:r>
        <w:rPr>
          <w:shd w:val="clear" w:fill="eeee80"/>
        </w:rPr>
        <w:t xml:space="preserve"> جاز للدائن أن يحصل على حكم بإلزام المدين بهذا التنفيذ وبدفع غرامة تهديدية إن امتنع عن ذلك.</w:t>
      </w:r>
    </w:p>
    <w:p>
      <w:pPr/>
      <w:r>
        <w:rPr/>
        <w:t xml:space="preserve"> -2 فإذا رأى القاضي أن مقدار الغرامة ليس كافيا الإكراه المدين الممتنع عن التنفيذ، جاز له أن يزيد في الغرامة كلما رأى داعيا للزيادة".كما تنص المادة (214) مدني، على أنه : إذا تم التنفيذ العيني أو أصر المدين على رفض التنفيذ،</w:t>
      </w:r>
    </w:p>
    <w:p>
      <w:pPr/>
      <w:r>
        <w:rPr>
          <w:shd w:val="clear" w:fill="eeee80"/>
        </w:rPr>
        <w:t xml:space="preserve"> حدد القاضي مقدار التعويض الذي يلزم به المدين مراعيا في ذلك الضرر الذي أصاب الدائن والعنت الذي بدا من المدين.</w:t>
      </w:r>
    </w:p>
    <w:p>
      <w:pPr/>
      <w:r>
        <w:rPr/>
        <w:t xml:space="preserve">وعلى ذلك، سنتناول أحكام الغرامة التهديدية، من خلال بيان المقصود بها (أولا)، وشروطها (ثانيا)، وخصائصها (ثالثا) وأثرها (رابعا).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2026-10-27T10:13:46+00:00</dcterms:created>
  <dcterms:modified xsi:type="dcterms:W3CDTF">2026-10-27T10:13:46+00:00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