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ويدعم في الوقت نفسه تطوير البلاد كمركز إقليمي رائد في مجال الصناعات الدوائية.  يوفر الإطار القانوني حماية قوية للابتكارات الدوائية من خلال مدد براءات اختراع تمتد لعشرين عامًا،  بوجود سلطات منفصلة تتولى حماية براءات الاختراع وتسجيل الأدوية،  مع ضمان تغطية شاملة لمسائل الملكية الفكرية الدوائية.  وقد أثبت هذا النظام فعاليته في دعم كل من تطوير الأدوية المبتكرة والمنافسة في مجال الأدوية الجنيسة، يُظهر النمو الأخير في طلبات براءات الاختراع وتسجيل العلامات التجارية التطور المتزايد لقطاع الأدوية في الأردن،  والاعتراف المتزايد بأهمية حماية الملكية الفكرية.  إلى جانب التحسينات المستمرة في البنية التحتية للملكية الفكرية وقدرات الإنفاذ، تعكس التحديات التي تواجه نظام الملكية الفكرية الدوائية في الأردن،  فإنّ الأساس المتين الذي يتمتع به الأردن في مجال حماية الملكية الفكرية،  إلى جانب موقعه الاستراتيجي وقطاعه الدوائي المتنامي، ومن المتوقع أن يعتمد استمرار نجاح الأردن في مجال الملكية الفكرية الدوائية على الحفاظ على القدرة على التكيف مع التقنيات الناشئة وديناميكيات السوق المتغيرة،  وهو ما ميّز نهج البلاد في سياسة الملكية الفكرية الدوائية.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