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تسعى للحصول على ال موال من أجل تسيير عملياتها وتوسيع أنشطتها ،  ولضمان استمرارية هذه ال خيرة ونموها وتحقيق استراتيجياتها ،  البد  من التفكير في جملة من املتغيرات قبل عملية اتخاذ القرار التمويلي التي تحكم وتحدد عملية التمويل، امتالك وسائل التمويل املناسبة الالزمة لتحقيق نشاطها وتغطية احتياجاتها وتلجأ إلى االعتماد على مصادر تمويل طويلة  ً وقصيرة ال جل وتقدير تكلفتها لبناء هيكل مالي فعال،  إذ يعرف الهيكل املالي على أنه عنص 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