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إجراءات التحكيم خصومة التعليم باملان أحد أشراف النزاع عن رعيته في تحريك إجراءات عصومة التعليم وهي تقابل المطالبة القضائية التى تبدأ الخصومة القضائية وإن كانت عمل فى التطرف والأمارات الآخرين وهذه الرغبة ما هي إلا تصرف إرادي انشأ به شعور من شكلها الخصوم و من حيث الموضوع فإذا ما تحركت هذه الخصومة برزت معالمها من خلال عمال المعلومة التعليمية لاتتحرك الا في نطاق رسمه اتفاق التحكيم سواء من حيث شارعها وكذا موضوعها،  كما يمكن لهذه الخصومة التحكيمية أن تتوسع سواء من خلال الترتها أو من خلال موضوعها كما هو حال الخصومات القضائية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