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بأن تقوم الدولتني املتعاقدتني بفرض الضريبة بالتناوب على املكلف حسب فئة الدخل احملقق،</w:t>
      </w:r>
    </w:p>
    <w:p>
      <w:pPr/>
      <w:r>
        <w:rPr/>
        <w:t xml:space="preserve">مبوجب اتفاقية جبائية بينهما، كأن ختتص إحدى الدولتني يف فرض الضريبة على أرباح األسهم،املتعاقدة األخرى يف فرض الضريبة على فئة املعاشات.إن كال من طريقة اقتسام االيراد وطريقة توزيع املادة اخلاضعة للضريبة،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2026-10-13T10:56:57+00:00</dcterms:created>
  <dcterms:modified xsi:type="dcterms:W3CDTF">2026-10-13T10:56:57+00:00</dcterms:modified>
</cp:coreProperties>
</file>

<file path=docProps/custom.xml><?xml version="1.0" encoding="utf-8"?>
<Properties xmlns="http://schemas.openxmlformats.org/officeDocument/2006/custom-properties" xmlns:vt="http://schemas.openxmlformats.org/officeDocument/2006/docPropsVTypes"/>
</file>