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توصل الإغريق القدماء إلى بعض النظريات في مجال الضوء، وفتحت آفاق دراسة، لكنها كانت في الأغلب نظرية،</w:t>
      </w:r>
    </w:p>
    <w:p>
      <w:pPr/>
      <w:r>
        <w:rPr>
          <w:shd w:val="clear" w:fill="eeee80"/>
        </w:rPr>
        <w:t xml:space="preserve"> ولم تتح الفرصة للبحث العملي لهذا الجانب الحيوي إلا على يد عدد من العلماء المسلمين في القرون الوسطى،</w:t>
      </w:r>
    </w:p>
    <w:p>
      <w:pPr/>
      <w:r>
        <w:rPr/>
        <w:t xml:space="preserve"> ويأتي في مقدمتهم الحسن بن الهيثم.كانت أبرز إسهامات الحسن بن الهيثم (354- 430هـ،</w:t>
      </w:r>
    </w:p>
    <w:p>
      <w:pPr/>
      <w:r>
        <w:rPr>
          <w:shd w:val="clear" w:fill="eeee80"/>
        </w:rPr>
        <w:t xml:space="preserve"> 965-1039م) في كتاب المناظر الاهتداء إلى طبيعة الضوء ووظائفه وحالة القمر وقوس قزح والمرايا ذات القطع المتكافئ،</w:t>
      </w:r>
    </w:p>
    <w:p>
      <w:pPr/>
      <w:r>
        <w:rPr/>
        <w:t xml:space="preserve"> والمرايا الكروية والكسوف والخسوف والظلال. فانتفع بعلمه بالبصريات وإنتاجه الغزير كل من روجر بيكون، وفيتلو البولندي، وليوناردو دافينشي، ويوهان كبلر. وقد ترجم كتابه المناظر أكثر من خمس مرات إلى اللاتينية، وفيه يؤكد على أن الضوء مستقل عن اللون، وحلل لأول مرة عملية الإبصار،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2026-10-14T15:17:55+00:00</dcterms:created>
  <dcterms:modified xsi:type="dcterms:W3CDTF">2026-10-14T15:17:55+00:00</dcterms:modified>
</cp:coreProperties>
</file>

<file path=docProps/custom.xml><?xml version="1.0" encoding="utf-8"?>
<Properties xmlns="http://schemas.openxmlformats.org/officeDocument/2006/custom-properties" xmlns:vt="http://schemas.openxmlformats.org/officeDocument/2006/docPropsVTypes"/>
</file>