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تغطي اللسان نتوءات تحوي براعم تذوق وهي مستقبلات حسية تستجيب للمواد الكيميائية المسؤولة عن مذاق الاطعمه؛ اذ تذوب هذه المواد في اللعاب، ليتكون سيال عصبي ينتقل الى الدماغ لادراك مذاق الاطعمه،</w:t>
      </w:r>
    </w:p>
    <w:p>
      <w:pPr/>
      <w:r>
        <w:rPr>
          <w:shd w:val="clear" w:fill="eeee80"/>
        </w:rPr>
        <w:t xml:space="preserve"> مثل المالح والحلو والحامض والمر.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2026-10-07T05:10:17+00:00</dcterms:created>
  <dcterms:modified xsi:type="dcterms:W3CDTF">2026-10-07T05:10:17+00:00</dcterms:modified>
</cp:coreProperties>
</file>

<file path=docProps/custom.xml><?xml version="1.0" encoding="utf-8"?>
<Properties xmlns="http://schemas.openxmlformats.org/officeDocument/2006/custom-properties" xmlns:vt="http://schemas.openxmlformats.org/officeDocument/2006/docPropsVTypes"/>
</file>