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السياسات النقدية الاجراءات التي تؤثر على كميات النقود وائتمانات البنوك.   لضمان تحقيق مجموعة من الأهداف الاقتصادية على المستوى الكلي مثل ضمان تحقيق الاستقرار السعري.  وتحفيز النمو الاقتصادي وزيادة نسب التشغيل (ادريس،  ويؤثر عليه سياسات البنك المركزي والانفاق الحكومي وسعر الفائدة.  2023  وطريقة تعديل أسعار الفائدة. قد يكون من الصعب تحقيق هذا الهدف في بعض الأحيان لعدة أسباب لذلك اتباع سياسة نقدية توسعية يؤدي إلى زيادة كميات النقود المعروضة في السوق.  فيزداد الانفاق الاستهلاكي والاستثماري وزيادة في الطلب الكلي.  فترتفع كلفة رأس المال وينقص الطلب عل الاستثمار وينخفض الطلب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