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ولكونه يدرس هذه الوقائع بصورة غير مباشرة في أغلب الأحيان نتيجة بعد الحقب عنا في معظم الكتابات التاريخية فضلا عن عدم قدرتنا عن الاحاطة بجميع الاحداث و ان كانت قد حصلت أمامنا،</w:t>
      </w:r>
    </w:p>
    <w:p>
      <w:pPr/>
      <w:r>
        <w:rPr>
          <w:shd w:val="clear" w:fill="eeee80"/>
        </w:rPr>
        <w:t xml:space="preserve">لأن كمية الوقائع التي يمكن للإنسان أن يشاهدها مباشرة هي كمية ضئيلة جدا،</w:t>
      </w:r>
    </w:p>
    <w:p>
      <w:pPr/>
      <w:r>
        <w:rPr>
          <w:shd w:val="clear" w:fill="eeee80"/>
        </w:rPr>
        <w:t xml:space="preserve">لهذا يضطر الباحث التاريخي إلى الاعتماد بصورة كبيرة على الوثائق المتناقلة الشفوية أو المكتوبة او مايصدر من نتاج انساني علمي أو فني أو فكري تخصها.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2026-10-18T20:34:58+00:00</dcterms:created>
  <dcterms:modified xsi:type="dcterms:W3CDTF">2026-10-18T20:34:58+00:00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