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يُبنـــى الغـــد الطمـــوح بالعمل الدؤوب،  والســـعي لاســـتثمار الفرصة الواعـــدة،  والهمـــة العالية التـــي توصـــل لقيـــادة المســـتقبل وريادته،  ومـــن هنا فإن برنامـــج صندوق الاســـتثمارات العامة قد وضـــع نصب عينيه الاســـتثمار في القطاعـــات المرتبطـــة بالصناعات المســـتقبلية،  والمتمثلة في وجود اســـتراتيجية تضـــع في عين الاعتبار أهميـــة القطاعـــات الجديدة والصناعات الناشـــئة؛  حيث ســـيعمل الصنـــدوق على توطين تلك الصناعـــات، الخبـــرات والأصول الاســـتثمارية بأيدي أبنـــاء الوطن الغالي والأجيـــال القادمة. إن النشـــاط الاســـتثماري للصنـــدوق يســـعى نحـــو خلـــق اقتصاد متـــين للمملكـــة،  وبيئة اســـتثمارية جاذبـــة ومحفزة للمســـتثمرينمنكلدولالعالم، ويمكـــن تلخيـــص الاســـتثمارات المســـتقبلية التـــي راعاها الصنـــدوق في أعماله،  وقطاع المركبـــات وأنشـــطة البحـــث والتطويـــر والتصنيـــع الحديثة،  وقطـــاع الســـياحة والترفيه،  وقطـــاع المرافـــق الخدميـــة والطاقـــة المتجـــددة،  وتطويـــر قطـــاع الاتصـــالات والإعلام،  والمدن العالميـــة الحديثة،  وإعادة التدوير والخدمات اللوجســـتية،  والاســـتثمار في صناديق الشـــركات الناشـــئة،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