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ما سبق يسلط الضوء على الأهمية الكبيرة لهذه المقدمة في تفسير وتطبيق الإعلان العالمي للأخلاقيات الحيوية وحقوق الإنسان ومستقبله.  أو فيما يتعلق بما ينتج عن تعداد الصكوك المتعلقة بالأخلاقيات الحيوية التي تظهر فيها،  تنبع أولاً من حقيقة مفادها أن الإعلان العالمي بشأن الأخلاقيات الحيوية وحقوق الإنسان يجب أن يُفهم ويُفسر ويُطبق بشكل منهجي في علاقة مع الصكين الدوليين الآخرين اللذين اعتمدتهما اليونسكو بشأن هذا الموضوع: الإعلان العالمي بشأن الجينوم البشري وحقوق الإنسان والإعلان الدولي بشأن البيانات الوراثية البشرية. إن الإعلان العالمي بشأن الأخلاقيات الحيوية وحقوق الإنسان،  بسبب الضرورات التي لا مفر منها في الوقت الذي تمت فيه صياغة الإعلان العالمي بشأن الأخلاقيات الحيوية وحقوق الإنسان،  والذي سيتعين تطويره واستكماله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