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 السلوك البشري في الأفلام</w:t>
      </w:r>
    </w:p>
    <w:p>
      <w:pPr/>
      <w:r>
        <w:rPr>
          <w:shd w:val="clear" w:fill="eeee80"/>
        </w:rPr>
        <w:t xml:space="preserve">في حين أنه يوجد عدد لا نهائي من مجالات السلوك البشري التي يمكن تجسيدها في الحبكات والشخصيات ومواقع الأفلام،</w:t>
      </w:r>
    </w:p>
    <w:p>
      <w:pPr/>
      <w:r>
        <w:rPr>
          <w:shd w:val="clear" w:fill="eeee80"/>
        </w:rPr>
        <w:t xml:space="preserve"> فإن كل تلك السلوكيات لا تتطلب نظريات معقدة لفهمها.</w:t>
      </w:r>
    </w:p>
    <w:p>
      <w:pPr/>
      <w:r>
        <w:rPr>
          <w:shd w:val="clear" w:fill="eeee80"/>
        </w:rPr>
        <w:t xml:space="preserve">التي تظهر في الأفلام؛</w:t>
      </w:r>
    </w:p>
    <w:p>
      <w:pPr/>
      <w:r>
        <w:rPr>
          <w:shd w:val="clear" w:fill="eeee80"/>
        </w:rPr>
        <w:t xml:space="preserve"> والعلاج النفسي،</w:t>
      </w:r>
    </w:p>
    <w:p>
      <w:pPr/>
      <w:r>
        <w:rPr>
          <w:shd w:val="clear" w:fill="eeee80"/>
        </w:rPr>
        <w:t xml:space="preserve"> والمرض النفسي والدراسات التي تركّز على نوع معين من السلوك أو الأشخاص تهتم البحث عن معنى التفسيرات السيكولوجية في الأفلام عادةً باتجاهات مشتركة بين عدد من الأفلام.</w:t>
      </w:r>
    </w:p>
    <w:p>
      <w:pPr/>
      <w:r>
        <w:rPr>
          <w:shd w:val="clear" w:fill="eeee80"/>
        </w:rPr>
        <w:t xml:space="preserve"> وفي حين أن تلك التجسيدات السينمائية لا تصف بالضرورة الواقع الموضوعي بدقة،</w:t>
      </w:r>
    </w:p>
    <w:p>
      <w:pPr/>
      <w:r>
        <w:rPr>
          <w:shd w:val="clear" w:fill="eeee80"/>
        </w:rPr>
        <w:t xml:space="preserve"> يمكننا أن نفترض أنها تضع يدها على تصورات شائعة حول سلوكيات معيَّنة،</w:t>
      </w:r>
    </w:p>
    <w:p>
      <w:pPr/>
      <w:r>
        <w:rPr>
          <w:shd w:val="clear" w:fill="eeee80"/>
        </w:rPr>
        <w:t xml:space="preserve">السلوكيات.</w:t>
      </w:r>
    </w:p>
    <w:p>
      <w:pPr/>
      <w:r>
        <w:rPr>
          <w:shd w:val="clear" w:fill="eeee80"/>
        </w:rPr>
        <w:t xml:space="preserve">ثمة مقاربة حدسية الطابع نسبيًّا لتصنيف السلوكيات المعروضة في الأفلام؛</w:t>
      </w:r>
    </w:p>
    <w:p>
      <w:pPr/>
      <w:r>
        <w:rPr>
          <w:shd w:val="clear" w:fill="eeee80"/>
        </w:rPr>
        <w:t xml:space="preserve"> حيث يقوم المحلل ببساطة بتحديد نمط سلوكي معيَّن،</w:t>
      </w:r>
    </w:p>
    <w:p>
      <w:pPr/>
      <w:r>
        <w:rPr>
          <w:shd w:val="clear" w:fill="eeee80"/>
        </w:rPr>
        <w:t xml:space="preserve"> فقد أصبح</w:t>
      </w:r>
    </w:p>
    <w:p>
      <w:pPr/>
      <w:r>
        <w:rPr>
          <w:shd w:val="clear" w:fill="eeee80"/>
        </w:rPr>
        <w:t xml:space="preserve">من الشائع بين نقاد السينما في مطبوعات مثل «تايم» و«إنترتينمينت ويكلي» الإشارة إلى ظاهرة «الرجل الطفل في الأفلام الكوميدية في التسعينيات والعقد الأول من الألفية الثالثة،</w:t>
      </w:r>
    </w:p>
    <w:p>
      <w:pPr/>
      <w:r>
        <w:rPr>
          <w:shd w:val="clear" w:fill="eeee80"/>
        </w:rPr>
        <w:t xml:space="preserve"> أو سيث روجين،</w:t>
      </w:r>
    </w:p>
    <w:p>
      <w:pPr/>
      <w:r>
        <w:rPr>
          <w:shd w:val="clear" w:fill="eeee80"/>
        </w:rPr>
        <w:t xml:space="preserve"> وثمة مكونان أساسيان لهذه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2026-10-19T07:49:54+00:00</dcterms:created>
  <dcterms:modified xsi:type="dcterms:W3CDTF">2026-10-19T07:49:54+00:00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