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نشأة النقد العربي عند العرب وتطوره</w:t>
      </w:r>
    </w:p>
    <w:p>
      <w:pPr/>
      <w:r>
        <w:rPr>
          <w:shd w:val="clear" w:fill="eeee80"/>
        </w:rPr>
        <w:t xml:space="preserve">النقد في العصر الجاهلي :</w:t>
      </w:r>
    </w:p>
    <w:p>
      <w:pPr/>
      <w:r>
        <w:rPr>
          <w:shd w:val="clear" w:fill="eeee80"/>
        </w:rPr>
        <w:t xml:space="preserve">نشأة النقد ارتبطت بنشأة الأدب،</w:t>
      </w:r>
    </w:p>
    <w:p>
      <w:pPr/>
      <w:r>
        <w:rPr>
          <w:shd w:val="clear" w:fill="eeee80"/>
        </w:rPr>
        <w:t xml:space="preserve"> وهكذا خصائص النقد في كل حقبة تاريخية تعكس خصائص الأدب شعرا ونثرا في تلك الحقبة.</w:t>
      </w:r>
    </w:p>
    <w:p>
      <w:pPr/>
      <w:r>
        <w:rPr>
          <w:shd w:val="clear" w:fill="eeee80"/>
        </w:rPr>
        <w:t xml:space="preserve">إن من أبرز ميزات الشعر في العصر الجاهلي أنه شعر غنائي ،</w:t>
      </w:r>
    </w:p>
    <w:p>
      <w:pPr/>
      <w:r>
        <w:rPr>
          <w:shd w:val="clear" w:fill="eeee80"/>
        </w:rPr>
        <w:t xml:space="preserve"> ومن أدق الملخصات المحددة الخصائص الشعرية العربية،</w:t>
      </w:r>
    </w:p>
    <w:p>
      <w:pPr/>
      <w:r>
        <w:rPr>
          <w:shd w:val="clear" w:fill="eeee80"/>
        </w:rPr>
        <w:t xml:space="preserve"> والنقد العربي في العصر الجاهلي ما ذهب إليه الدكتور مشري بن خليفة في محاضراته في النقد العربي القديم بجامعة ورقلة ،</w:t>
      </w:r>
    </w:p>
    <w:p>
      <w:pPr/>
      <w:r>
        <w:rPr>
          <w:shd w:val="clear" w:fill="eeee80"/>
        </w:rPr>
        <w:t xml:space="preserve">والنقد معا.</w:t>
      </w:r>
    </w:p>
    <w:p>
      <w:pPr/>
      <w:r>
        <w:rPr>
          <w:shd w:val="clear" w:fill="eeee80"/>
        </w:rPr>
        <w:t xml:space="preserve"> مع تعدد الأغراض.</w:t>
      </w:r>
    </w:p>
    <w:p>
      <w:pPr/>
      <w:r>
        <w:rPr>
          <w:shd w:val="clear" w:fill="eeee80"/>
        </w:rPr>
        <w:t xml:space="preserve"> التفعيلات.</w:t>
      </w:r>
    </w:p>
    <w:p>
      <w:pPr/>
      <w:r>
        <w:rPr>
          <w:shd w:val="clear" w:fill="eeee80"/>
        </w:rPr>
        <w:t xml:space="preserve">3 - المعنى المسبق : أي مخاطبة جمهور عارف بالمعاني؛</w:t>
      </w:r>
    </w:p>
    <w:p>
      <w:pPr/>
      <w:r>
        <w:rPr>
          <w:shd w:val="clear" w:fill="eeee80"/>
        </w:rPr>
        <w:t xml:space="preserve"> ومعاني الهجاء متعارف عليها.</w:t>
      </w:r>
    </w:p>
    <w:p>
      <w:pPr/>
      <w:r>
        <w:rPr>
          <w:shd w:val="clear" w:fill="eeee80"/>
        </w:rPr>
        <w:t xml:space="preserve">-4- السماع : يأتي بصور واضحة لأنها تتلقى عن طريق السماع.</w:t>
      </w:r>
    </w:p>
    <w:p>
      <w:pPr/>
      <w:r>
        <w:rPr>
          <w:shd w:val="clear" w:fill="eeee80"/>
        </w:rPr>
        <w:t xml:space="preserve">5- الإنشاد : خاصية يؤثر من خلالها الشاعر بالملتقى عن طريق البيتية،</w:t>
      </w:r>
    </w:p>
    <w:p>
      <w:pPr/>
      <w:r>
        <w:rPr>
          <w:shd w:val="clear" w:fill="eeee80"/>
        </w:rPr>
        <w:t xml:space="preserve"> الوزن والقافية.</w:t>
      </w:r>
    </w:p>
    <w:p>
      <w:pPr/>
      <w:r>
        <w:rPr>
          <w:shd w:val="clear" w:fill="eeee80"/>
        </w:rPr>
        <w:t xml:space="preserve">ثانيا : خصائص النقد الشفوي</w:t>
      </w:r>
    </w:p>
    <w:p>
      <w:pPr/>
      <w:r>
        <w:rPr>
          <w:shd w:val="clear" w:fill="eeee80"/>
        </w:rPr>
        <w:t xml:space="preserve">-2- التجزيئية : يركز على بيت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2026-10-09T22:51:23+00:00</dcterms:created>
  <dcterms:modified xsi:type="dcterms:W3CDTF">2026-10-09T22:51:23+00:00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