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البند الرابعتم هذا البيع لقاء ثمن إجمالي وقدره 300000 جنيه  ( ثلاثمائة ألف جنيه مصري فقط لا غير  ) قام الطرف الثاني المشتري بدفع هذا المبلغ بالكامل ومن ماله الخاص ليد الطرف الأول البائع حال تحرير هذا العقد وفي مجلسه واعتبر توقيع الطرف الأول البائع علي هذا العقد بمثابة مخالصة نهائية عن كامل الثمن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2026-09-24T11:32:45+00:00</dcterms:created>
  <dcterms:modified xsi:type="dcterms:W3CDTF">2026-09-24T11:32:45+00:00</dcterms:modified>
</cp:coreProperties>
</file>

<file path=docProps/custom.xml><?xml version="1.0" encoding="utf-8"?>
<Properties xmlns="http://schemas.openxmlformats.org/officeDocument/2006/custom-properties" xmlns:vt="http://schemas.openxmlformats.org/officeDocument/2006/docPropsVTypes"/>
</file>