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الطعون الخاصة بالتفسير ومدى شرعية القرارات التي تكون نزاعاتها من اختصاص مجلس الدولة.</w:t>
      </w:r>
    </w:p>
    <w:p>
      <w:pPr/>
      <w:r>
        <w:rPr>
          <w:shd w:val="clear" w:fill="eeee80"/>
        </w:rPr>
        <w:t xml:space="preserve">- يفصل في الطعون بالنقض في قرارات الجهات القضائية اإلدارية الصادرة نهائيا وكذا الطعون بالنقض في قرارات مجلس المحاسبة.</w:t>
      </w:r>
    </w:p>
    <w:p>
      <w:pPr/>
      <w:r>
        <w:rPr>
          <w:shd w:val="clear" w:fill="eeee80"/>
        </w:rPr>
        <w:t xml:space="preserve">- المنازعات التي تقررها نصوص قانونية خاصة مثل االستئناف المقدم ضد األمر الصادر ابتدائيا من قبل رئيس المحكمة اإلدارية،</w:t>
      </w:r>
    </w:p>
    <w:p>
      <w:pPr/>
      <w:r>
        <w:rPr>
          <w:shd w:val="clear" w:fill="eeee80"/>
        </w:rPr>
        <w:t xml:space="preserve">وكذلك الطلبات المتضمنة وقف تنفيذ القرارات مثل القرار اإلداري المطعون فيه بالبطالن.</w:t>
      </w:r>
    </w:p>
    <w:p>
      <w:pPr/>
      <w:r>
        <w:rPr>
          <w:shd w:val="clear" w:fill="eeee80"/>
        </w:rPr>
        <w:t xml:space="preserve">- األمر االستعجالي محل االستئناف والصادر عن رئيس الغرفة اإلدارية )م 191 مكرر ق.</w:t>
      </w:r>
    </w:p>
    <w:p>
      <w:pPr/>
      <w:r>
        <w:rPr>
          <w:shd w:val="clear" w:fill="eeee80"/>
        </w:rPr>
        <w:t xml:space="preserve">المبحث الثالث: الجهات القضائية المتخصصة</w:t>
      </w:r>
    </w:p>
    <w:p>
      <w:pPr/>
      <w:r>
        <w:rPr>
          <w:shd w:val="clear" w:fill="eeee80"/>
        </w:rPr>
        <w:t xml:space="preserve">نص القانون العضوي 11/50 المتعلق بالتنظيم القضائي في فصله الرابع على جهتين قضائيتين جزائيتين متخصصتين هما محكمة </w:t>
      </w:r>
    </w:p>
    <w:p>
      <w:pPr/>
      <w:r>
        <w:rPr>
          <w:shd w:val="clear" w:fill="eeee80"/>
        </w:rPr>
        <w:t xml:space="preserve"> وهذا ما سنتطرق إليه في مطلبين:</w:t>
      </w:r>
    </w:p>
    <w:p>
      <w:pPr/>
      <w:r>
        <w:rPr>
          <w:shd w:val="clear" w:fill="eeee80"/>
        </w:rPr>
        <w:t xml:space="preserve">المطلب األول: محكمة التنازع</w:t>
      </w:r>
    </w:p>
    <w:p>
      <w:pPr/>
      <w:r>
        <w:rPr>
          <w:shd w:val="clear" w:fill="eeee80"/>
        </w:rPr>
        <w:t xml:space="preserve">أنشأت محكمة التنازع في الجزائر بموجب دستور 1996 والقانون العضوي رقم 53/98 المؤرخ في 53 يونيو 1998 المتعلق </w:t>
      </w:r>
    </w:p>
    <w:p>
      <w:pPr/>
      <w:r>
        <w:rPr>
          <w:shd w:val="clear" w:fill="eeee80"/>
        </w:rPr>
        <w:t xml:space="preserve">باختصاص محكمة التنازع وتنظيمها وعملها.</w:t>
      </w:r>
    </w:p>
    <w:p>
      <w:pPr/>
      <w:r>
        <w:rPr>
          <w:shd w:val="clear" w:fill="eeee80"/>
        </w:rPr>
        <w:t xml:space="preserve">أوال: اختصاصات محكمة التنازع: نصت المادة 53 من القانون العضوي رقم 53-98 على أنه: "تختص محكمة التنازع في الفصل في </w:t>
      </w:r>
    </w:p>
    <w:p>
      <w:pPr/>
      <w:r>
        <w:rPr>
          <w:shd w:val="clear" w:fill="eeee80"/>
        </w:rPr>
        <w:t xml:space="preserve">منازعات االختصاص بين الجهات القضائية الخاضعة للنظام القضائي العادي والجهات القضائية الخاضعة للنظام القضائي اإلداري حسب </w:t>
      </w:r>
    </w:p>
    <w:p>
      <w:pPr/>
      <w:r>
        <w:rPr>
          <w:shd w:val="clear" w:fill="eeee80"/>
        </w:rPr>
        <w:t xml:space="preserve">الشروط المحددة في هذا القانون- وال يمكن لمحكمة التنازع التدخل في منازعات اإلختصاص بين الجهات القضائية الخاضعة لنفس النظام" </w:t>
      </w:r>
    </w:p>
    <w:p>
      <w:pPr/>
      <w:r>
        <w:rPr>
          <w:shd w:val="clear" w:fill="eeee80"/>
        </w:rPr>
        <w:t xml:space="preserve">باإلضافة الى المادة 10 " ال ترفع أمام محكمة التنازع إال المواضيع المتعلقة بتنازع اإلختصاص مما يجعل اختصاص محكمة التنازع </w:t>
      </w:r>
    </w:p>
    <w:p>
      <w:pPr/>
      <w:r>
        <w:rPr>
          <w:shd w:val="clear" w:fill="eeee80"/>
        </w:rPr>
        <w:t xml:space="preserve">اختصاصا محددا،</w:t>
      </w:r>
    </w:p>
    <w:p>
      <w:pPr/>
      <w:r>
        <w:rPr>
          <w:shd w:val="clear" w:fill="eeee80"/>
        </w:rPr>
        <w:t xml:space="preserve"> وليس عاما ويشمل مجموعة من الحاالت فقط هي حالة التنازع اإليجابي و التنازع السلبي و حالة تناقض األحكام".</w:t>
      </w:r>
    </w:p>
    <w:p>
      <w:pPr/>
      <w:r>
        <w:rPr>
          <w:shd w:val="clear" w:fill="eeee80"/>
        </w:rPr>
        <w:t xml:space="preserve">- حالة التنازع اإليجابي: عرفته المادة 16 من نفس القانون بأنه يتحقق عندما تقضي جهتان قضائيتان إحداهما خاضعة للنظام </w:t>
      </w:r>
    </w:p>
    <w:p>
      <w:pPr/>
      <w:r>
        <w:rPr>
          <w:shd w:val="clear" w:fill="eeee80"/>
        </w:rPr>
        <w:t xml:space="preserve">القضائي العادي واألخرى خاضعة للنظام القضائي اإلداري باختصاصهما للفصل في نفس الموضوع.</w:t>
      </w:r>
    </w:p>
    <w:p>
      <w:pPr/>
      <w:r>
        <w:rPr>
          <w:shd w:val="clear" w:fill="eeee80"/>
        </w:rPr>
        <w:t xml:space="preserve">ب- ب- التنازع السلبي: وهو حسب م 2/16 الصورة التي تعلن فيها كل من جهة القضاء العادي و جهة القضاء اإلداري عدم </w:t>
      </w:r>
    </w:p>
    <w:p>
      <w:pPr/>
      <w:r>
        <w:rPr>
          <w:shd w:val="clear" w:fill="eeee80"/>
        </w:rPr>
        <w:t xml:space="preserve">اختصاصهما في نفس النزاع.</w:t>
      </w:r>
    </w:p>
    <w:p>
      <w:pPr/>
      <w:r>
        <w:rPr>
          <w:shd w:val="clear" w:fill="eeee80"/>
        </w:rPr>
        <w:t xml:space="preserve">ت- ت- حالة تناقض األحكام: نصت عليها م 2/19 و هي إذا وجد حكمان قضائيان نهائيان،</w:t>
      </w:r>
    </w:p>
    <w:p>
      <w:pPr/>
      <w:r>
        <w:rPr>
          <w:shd w:val="clear" w:fill="eeee80"/>
        </w:rPr>
        <w:t xml:space="preserve">الحكمين.</w:t>
      </w:r>
    </w:p>
    <w:p>
      <w:pPr/>
      <w:r>
        <w:rPr>
          <w:shd w:val="clear" w:fill="eeee80"/>
        </w:rPr>
        <w:t xml:space="preserve">ث- المطلب الثاني: الجهات القضائية الجزائية المتخصصة</w:t>
      </w:r>
    </w:p>
    <w:p>
      <w:pPr/>
      <w:r>
        <w:rPr>
          <w:shd w:val="clear" w:fill="eeee80"/>
        </w:rPr>
        <w:t xml:space="preserve">ح- أوال- محكمة الجنايات: نصت المادة 18 على: "توجد على مستوى كل مجلس قضائي محكمة جنايات تختص بالفصل في األفعال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2026-09-05T23:03:47+00:00</dcterms:created>
  <dcterms:modified xsi:type="dcterms:W3CDTF">2026-09-05T23:03:47+00:00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