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يظهر الجانب الاقتصاديُّ في المقدمة من خلال مناقشة ابن خلدون لمجموعة من المسائل المرتبطة بالاقتصاد،</w:t>
      </w:r>
    </w:p>
    <w:p>
      <w:pPr/>
      <w:r>
        <w:rPr/>
        <w:t xml:space="preserve"> أو المعاش بالتعبير الخلدونيِّ، وقد أفرد له الفصل الخامس من الكتاب الأول،</w:t>
      </w:r>
    </w:p>
    <w:p>
      <w:pPr/>
      <w:r>
        <w:rPr>
          <w:shd w:val="clear" w:fill="eeee80"/>
        </w:rPr>
        <w:t xml:space="preserve"> وعنوَنَه بالمعاش ووجوهه من الكسب والصنائع وما يعرض في ذلك كله من الأحوال،</w:t>
      </w:r>
    </w:p>
    <w:p>
      <w:pPr/>
      <w:r>
        <w:rPr>
          <w:shd w:val="clear" w:fill="eeee80"/>
        </w:rPr>
        <w:t xml:space="preserve"> فالكسب هو قيمة الأعمال البشرية،</w:t>
      </w:r>
    </w:p>
    <w:p>
      <w:pPr/>
      <w:r>
        <w:rPr>
          <w:shd w:val="clear" w:fill="eeee80"/>
        </w:rPr>
        <w:t xml:space="preserve"> وهو تحصيل الحاجات بسعي أو بغيره،</w:t>
      </w:r>
    </w:p>
    <w:p>
      <w:pPr/>
      <w:r>
        <w:rPr/>
        <w:t xml:space="preserve"> فإن كان للكسب منفعة وثمرة تعود للعبد،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2026-10-10T13:08:23+00:00</dcterms:created>
  <dcterms:modified xsi:type="dcterms:W3CDTF">2026-10-10T13:08:23+00:00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