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الأرض هي المصدر الأساسي للثروة مبدأ الربع الصافي على نقيض المذهب التجاري الذي يعتبر أن مصدر الثروة هو الذهب والفضة وأن الدولة القوية هي التي تملك أكبر كمية من هاته المعادن،  عرف الطبيعيون الثروة باستبعاد المعدن النفيس كمصدر لها بل عكس ذلك فهم يعتقدون أن النقود المعدنية ليست إلا ثروة عقيمة،  وبناءا على هذا يعتبر رواد هذا المذهب بأن النشاط المنتج الوحيد هو الزراعة،  أما النشاطات الأخرى فهي عقيمة لعدم قدرتها على خلق قيم جديدة أي ما يعرف بالربع الصافي،  فتضافر العمل البشري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2026-11-07T14:25:13+00:00</dcterms:created>
  <dcterms:modified xsi:type="dcterms:W3CDTF">2026-11-07T14:25:13+00:00</dcterms:modified>
</cp:coreProperties>
</file>

<file path=docProps/custom.xml><?xml version="1.0" encoding="utf-8"?>
<Properties xmlns="http://schemas.openxmlformats.org/officeDocument/2006/custom-properties" xmlns:vt="http://schemas.openxmlformats.org/officeDocument/2006/docPropsVTypes"/>
</file>