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رفع المردود الناتج عن الأراضي الزراعية وتشجيع العمل بها عن طريق:</w:t>
      </w:r>
    </w:p>
    <w:p>
      <w:pPr/>
      <w:r>
        <w:rPr>
          <w:shd w:val="clear" w:fill="eeee80"/>
        </w:rPr>
        <w:t xml:space="preserve">تأمين سوق مناسب لمنتجات الزراعات.</w:t>
      </w:r>
    </w:p>
    <w:p>
      <w:pPr/>
      <w:r>
        <w:rPr/>
        <w:t xml:space="preserve">- التأثير بالجهات المعنية لوضع قوانين فيما يحد من تفكيك الملكيات ,</w:t>
      </w:r>
    </w:p>
    <w:p>
      <w:pPr/>
      <w:r>
        <w:rPr>
          <w:shd w:val="clear" w:fill="eeee80"/>
        </w:rPr>
        <w:t xml:space="preserve"> وتأمين الخدمات اللازمة للمزارعين.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2026-10-01T22:52:51+00:00</dcterms:created>
  <dcterms:modified xsi:type="dcterms:W3CDTF">2026-10-01T22:52:51+00:00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