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تلعب التقنية دورا أساسيا في تحجيم أدوار و نشاطات إدارة الموارد البشرية وذلك بسبب إحالل اآللة</w:t>
      </w:r>
    </w:p>
    <w:p>
      <w:pPr/>
      <w:r>
        <w:rPr/>
        <w:t xml:space="preserve"> ذلك اإلحالل الذي يمكن أن يؤثر سلبيا على وضع إدارة الموارد البشرية في</w:t>
      </w:r>
    </w:p>
    <w:p>
      <w:pPr/>
      <w:r>
        <w:rPr>
          <w:shd w:val="clear" w:fill="eeee80"/>
        </w:rPr>
        <w:t xml:space="preserve"> اعتمادا فإن المؤسسات ذات التقنية العالية تميل إلى إعطاء إدارة الموارد البشرية أدوارا هامشية</w:t>
      </w:r>
    </w:p>
    <w:p>
      <w:pPr/>
      <w:r>
        <w:rPr>
          <w:shd w:val="clear" w:fill="eeee80"/>
        </w:rPr>
        <w:t xml:space="preserve"> وهذا ما يجعل إدارة الموارد البشرية من اإلدارات إما المهملة أو الموجودة في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2026-11-04T04:25:15+00:00</dcterms:created>
  <dcterms:modified xsi:type="dcterms:W3CDTF">2026-11-04T04:25:15+00:00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