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يُعلن عن مشاريع المنفعة العامة بقرار إداري يُحدد المنطقة المراد نزع ملكيتها.  يشمل ذلك العقارات الضرورية للمشروع، بالإضافة إلى أجزاء من عقارات أخرى أو عقارات مجاورة، إذا كان نزع ملكيتها ضروريًا لتحقيق هدف المنفعة العامة أو إذا أدى إنجاز المشروع إلى زيادة ملحوظة في قيمة تلك العقارات.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